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760531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956648)</w:t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rPr>
          <w:lang w:val="ru-RU"/>
        </w:r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17" w:name="_GoBack"/>
      <w:bookmarkEnd w:id="17"/>
      <w:bookmarkStart w:id="5" w:name="block-7605316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7605309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8" w:name="block-7605310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.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9" w:name="block-760531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4899"/>
        <w:gridCol w:w="1563"/>
        <w:gridCol w:w="1701"/>
        <w:gridCol w:w="1783"/>
        <w:gridCol w:w="279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r>
              <w:fldChar w:fldCharType="begin"/>
            </w:r>
            <w:r>
              <w:instrText xml:space="preserve"> HYPERLINK "https://m.edsoo.ru/7f4110fe"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4110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>
      <w:pPr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0" w:name="block-7605312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4646"/>
        <w:gridCol w:w="1194"/>
        <w:gridCol w:w="1396"/>
        <w:gridCol w:w="1490"/>
        <w:gridCol w:w="1052"/>
        <w:gridCol w:w="332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"https://m.edsoo.ru/c4e27670"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27670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"https://m.edsoo.ru/c4e19444"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19444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"https://m.edsoo.ru/c4e1925a"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1925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"https://m.edsoo.ru/c4e195ca"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195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"https://m.edsoo.ru/c4e1973c"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1973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>
            <w:pPr>
              <w:numPr>
                <w:ilvl w:val="0"/>
                <w:numId w:val="1"/>
              </w:numPr>
              <w:spacing w:after="0"/>
            </w:pPr>
            <w:r>
              <w:fldChar w:fldCharType="begin"/>
            </w:r>
            <w:r>
              <w:instrText xml:space="preserve"> HYPERLINK "https://m.edsoo.ru/c4e1989a"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https://m.edsoo.ru/c4e1989a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r>
              <w:fldChar w:fldCharType="begin"/>
            </w:r>
            <w:r>
              <w:instrText xml:space="preserve"> HYPERLINK "https://m.edsoo.ru/c4e19de0"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https://m.edsoo.ru/c4e19de0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"https://m.edsoo.ru/c4e1a40c"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"https://m.edsoo.ru/c4e1b2f8"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"https://m.edsoo.ru/c4e1b488"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488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"https://m.edsoo.ru/c4e1b60e"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"https://m.edsoo.ru/c4e1b78a"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"https://m.edsoo.ru/c4e1a89e"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"https://m.edsoo.ru/c4e1ae2a"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"https://m.edsoo.ru/c4e1afe2"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"https://m.edsoo.ru/c4e1be92"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"https://m.edsoo.ru/c4e1a704"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"https://m.edsoo.ru/c4e1b168"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"https://m.edsoo.ru/c4e1c022"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022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"https://m.edsoo.ru/c4e1c1b2"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"https://m.edsoo.ru/c4e1f61e"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"https://m.edsoo.ru/c4e1f7c2"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"https://m.edsoo.ru/c4e21482"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21482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"https://m.edsoo.ru/c4e212de"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212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"https://m.edsoo.ru/c4e22abc"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"https://m.edsoo.ru/c4e25582"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25582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"https://m.edsoo.ru/c4e1c4aa"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"https://m.edsoo.ru/c4e1f970"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"https://m.edsoo.ru/c4e1fb1e"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"https://m.edsoo.ru/c4e1cf90"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"https://m.edsoo.ru/c4e2358e"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"https://m.edsoo.ru/c4e215ea"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215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"https://m.edsoo.ru/c4e2597e"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2597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"https://m.edsoo.ru/c4e22abc"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</w:t>
            </w:r>
            <w:r>
              <w:rPr>
                <w:rFonts w:ascii="Times New Roman" w:hAnsi="Times New Roman"/>
                <w:color w:val="0000FF"/>
                <w:u w:val="single"/>
              </w:rPr>
              <w:t>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"https://m.edsoo.ru/c4e2226a"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2226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"https://m.edsoo.ru/c4e25e42"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"https://m.edsoo.ru/c4e24736"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24736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"https://m.edsoo.ru/c4e1c6f8"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"https://m.edsoo.ru/c4e25410"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25410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"https://m.edsoo.ru/c4e2316a"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2316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"https://m.edsoo.ru/c4e1d544"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544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"https://m.edsoo.ru/c4e241f0"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"https://m.edsoo.ru/c4e22968"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22968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"https://m.edsoo.ru/c4e2433a"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2433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"https://m.edsoo.ru/c4e296aa"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296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"https://m.edsoo.ru/c4e2911e"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2911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"https://m.edsoo.ru/c4e29510"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29510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>
            <w:pPr>
              <w:numPr>
                <w:ilvl w:val="0"/>
                <w:numId w:val="2"/>
              </w:numPr>
              <w:spacing w:after="0"/>
            </w:pPr>
            <w:r>
              <w:fldChar w:fldCharType="begin"/>
            </w:r>
            <w:r>
              <w:instrText xml:space="preserve"> HYPERLINK "https://m.edsoo.ru/c4e20b40"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https://m.edsoo.ru/c4e20b40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r>
              <w:fldChar w:fldCharType="begin"/>
            </w:r>
            <w:r>
              <w:instrText xml:space="preserve"> HYPERLINK "https://m.edsoo.ru/c4e20cee"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https://m.edsoo.ru/c4e20cee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"https://m.edsoo.ru/c4e244a2"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244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"https://m.edsoo.ru/c4e25154"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25154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"https://m.edsoo.ru/c4e288ea"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288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"https://m.edsoo.ru/c4e299ca"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299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1" w:name="block-7605313"/>
    </w:p>
    <w:bookmarkEnd w:id="11"/>
    <w:p>
      <w:pPr>
        <w:spacing w:after="0"/>
        <w:ind w:left="120"/>
        <w:rPr>
          <w:lang w:val="ru-RU"/>
        </w:rPr>
      </w:pPr>
      <w:bookmarkStart w:id="12" w:name="block-7605315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3fd16b47-1eb9-4d72-bbe7-a63ca90c7a6e"/>
      <w:r>
        <w:rPr>
          <w:rFonts w:ascii="Times New Roman" w:hAnsi="Times New Roman"/>
          <w:color w:val="000000"/>
          <w:sz w:val="28"/>
          <w:lang w:val="ru-RU"/>
        </w:rPr>
        <w:t>пособия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4ccd20f5-4b97-462e-8469-dea56de20829"/>
      <w:r>
        <w:rPr>
          <w:rFonts w:ascii="Times New Roman" w:hAnsi="Times New Roman"/>
          <w:color w:val="000000"/>
          <w:sz w:val="28"/>
          <w:lang w:val="ru-RU"/>
        </w:rPr>
        <w:t>плакаты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Учи.ру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2389F"/>
    <w:multiLevelType w:val="multilevel"/>
    <w:tmpl w:val="0552389F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4241742D"/>
    <w:multiLevelType w:val="multilevel"/>
    <w:tmpl w:val="4241742D"/>
    <w:lvl w:ilvl="0" w:tentative="0">
      <w:start w:val="1"/>
      <w:numFmt w:val="decimal"/>
      <w:lvlText w:val="%1."/>
      <w:lvlJc w:val="left"/>
      <w:pPr>
        <w:ind w:left="960" w:hanging="360"/>
      </w:p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F3"/>
    <w:rsid w:val="00141E68"/>
    <w:rsid w:val="00231359"/>
    <w:rsid w:val="00305706"/>
    <w:rsid w:val="00720B8A"/>
    <w:rsid w:val="008230A6"/>
    <w:rsid w:val="00A2134C"/>
    <w:rsid w:val="00B61EEA"/>
    <w:rsid w:val="00C61CB7"/>
    <w:rsid w:val="00FB53E9"/>
    <w:rsid w:val="00FC35F3"/>
    <w:rsid w:val="5773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5801</Words>
  <Characters>33069</Characters>
  <Lines>275</Lines>
  <Paragraphs>77</Paragraphs>
  <TotalTime>0</TotalTime>
  <ScaleCrop>false</ScaleCrop>
  <LinksUpToDate>false</LinksUpToDate>
  <CharactersWithSpaces>38793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2023-09-12T04:16:00Z</dcterms:created>
  <dc:creator>1</dc:creator>
  <cp:lastModifiedBy>Татьяна Лизинск�</cp:lastModifiedBy>
  <cp:lastPrinted>2023-09-15T03:23:00Z</cp:lastPrinted>
  <dcterms:modified xsi:type="dcterms:W3CDTF">2023-11-18T15:37:38Z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37DCFC19ECDF472F8A8BD544417D2BFB_12</vt:lpwstr>
  </property>
</Properties>
</file>